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Анестезиология-реаниматология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Анестезиология-реаниматология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Анестезиология-реаниматология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54 года, доставлен в отделение интенсивной терапии бригадой скорой медицинской помощи с диагнозом: “желудочно-кишечное кровотечение”.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не предъявляет по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бригады скорой медицинской помощи, пациент найден соседями по дому без сознания. По пути в стационар отмечалась рвота измененной кровью.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Собрать не удается. Со слов соседей, вызвавших скорую помощь, пациент длительно злоупотребляет алкоголем.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Положение пассивное. Нормостенический тип телосложения. Вес = 85 кг, рост 170 см</w:t>
      </w:r>
    </w:p>
    <w:p>
      <w:pPr>
        <w:spacing w:after="58"/>
      </w:pPr>
      <w:r>
        <w:rPr>
          <w:b w:val="0"/>
          <w:i w:val="0"/>
        </w:rPr>
        <w:t>* Кожные покровы бледные, прохладные, липкий пот. Симптом ”бледного пятна” – замедленное заполнение (5 сек).</w:t>
      </w:r>
    </w:p>
    <w:p>
      <w:pPr>
        <w:spacing w:after="58"/>
      </w:pPr>
      <w:r>
        <w:rPr>
          <w:b w:val="0"/>
          <w:i w:val="0"/>
        </w:rPr>
        <w:t>* Уровень сознания – глубокое оглушение, 12 баллов по шкале Глазго. Очаговой неврологической симптоматики и менингеальных знаков не отмечается.</w:t>
      </w:r>
    </w:p>
    <w:p>
      <w:pPr>
        <w:spacing w:after="58"/>
      </w:pPr>
      <w:r>
        <w:rPr>
          <w:b w:val="0"/>
          <w:i w:val="0"/>
        </w:rPr>
        <w:t>* Дыхание самостоятельное, 28/мин, проводится во все отделы легких, ослаблено в нижнебоковых отделах, хрипов нет.</w:t>
      </w:r>
    </w:p>
    <w:p>
      <w:pPr>
        <w:spacing w:after="58"/>
      </w:pPr>
      <w:r>
        <w:rPr>
          <w:b w:val="0"/>
          <w:i w:val="0"/>
        </w:rPr>
        <w:t>* АД не определяется. Пульс на лучевой артерии не определяется, определяется на сонной и плечевой артериях, 140 уд/мин. Насыщение гемоглобина кислородом стандартным методом пульсоксиметрии на уровне дистальной фаланги пальцев не определяется. На мониторе ЭКГ: синусовая тахикардия.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c5b564a428e4e6debb7fd6afc2f6a52e281cb3b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* Выполнена катетеризация v. subclavia dextra, ЦВД = 0 см вод. ст.</w:t>
      </w:r>
    </w:p>
    <w:p>
      <w:pPr>
        <w:spacing w:after="58"/>
      </w:pPr>
      <w:r>
        <w:rPr>
          <w:b w:val="0"/>
          <w:i w:val="0"/>
        </w:rPr>
        <w:t>* Живот мягкий, не вздут, на пальпацию не реагирует. Отмечается рубец после срединной лапаротомии (анамнез предыдущих оперативных вмешательств неизвестен).</w:t>
      </w:r>
    </w:p>
    <w:p>
      <w:pPr>
        <w:spacing w:after="58"/>
      </w:pPr>
      <w:r>
        <w:rPr>
          <w:b w:val="0"/>
          <w:i w:val="0"/>
        </w:rPr>
        <w:t>* Выполнена катетеризация мочевого пузыря: получено 50 мл темно-желтой прозрачной мочи.</w:t>
      </w:r>
    </w:p>
    <w:p>
      <w:pPr>
        <w:spacing w:after="58"/>
      </w:pPr>
      <w:r>
        <w:rPr>
          <w:b w:val="0"/>
          <w:i w:val="0"/>
        </w:rPr>
        <w:t>* Лабораторно (газовый анализатор, проба венозной крови):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К+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3,4-5,3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Na+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135-146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Cl-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98-106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Glu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3,9-5,3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Lac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19,1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0,5-1,6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mOsm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283.6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ммоль/кг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275-310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pH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6.81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7,36-7,46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PCO2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мм.рт.ст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36,0-45,0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мм.рт.ст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83-108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SO2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95,0-99,0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ABE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-14.2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-2,0-3,0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НСО3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6.7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21,0-28,0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Hb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120-140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39-49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 Общий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109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120-140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21.0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39-49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2.62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1012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4,3-5,5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109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150-400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3,4–17,1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млмоль/л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2,5—8,3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44-106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19.2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7—41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Щелочная фосфатаза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32-100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Альфа-Амилаза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25-125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35 - 52</w:t>
            </w:r>
          </w:p>
        </w:tc>
      </w:tr>
    </w:tbl>
    <w:p/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Ведущим синдромом, определяющим тяжесть состояния пациента,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церебральная недостаточность на фоне острого нарушения мозгового кровообращения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дыхательная недостаточность на фоне острого респираторного дистреесс-синдрома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гиповолемический шок на фоне массивной кровопотери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кардиогенный шок на фоне острого нарушения ритма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гиповолемический шок на фоне массивной кровопотери</w:t>
      </w:r>
    </w:p>
    <w:p>
      <w:pPr>
        <w:ind w:left="504"/>
      </w:pPr>
      <w:r>
        <w:rPr>
          <w:b w:val="0"/>
          <w:i/>
        </w:rPr>
        <w:t>Признаками шока являются:</w:t>
        <w:br/>
        <w:br/>
        <w:t>- бледные, прохладные кожные покровы:</w:t>
        <w:br/>
        <w:br/>
        <w:t>- замедление заполнения бледного пятна (более 3 с);</w:t>
        <w:br/>
        <w:br/>
        <w:t>- энцефалопатия – угнетение уровня сознания до поверхностного оглушения;</w:t>
        <w:br/>
        <w:br/>
        <w:t>- олигурия &lt;0,5 мл/к/ч;</w:t>
        <w:br/>
        <w:br/>
        <w:t>- гипотензия, тахикардия, тахипное;</w:t>
        <w:br/>
        <w:br/>
        <w:t>- нарастание уровня лактата крови до 2.4 ммоль/л</w:t>
        <w:br/>
        <w:br/>
        <w:t>Гиповолемический шок развивается в результате первичного снижения ОЦК, чаще в результате кровотечения (геморрагический шок) реже при ожогах, острой кишечной непроходимости, диарее и прочих состояниях, ведущих к значимой потере жидкости (около 16% всех случаев шока).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165, 167-169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 больного развилось нарушение кислотно-щелочного состава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первичного метаболического алкалоза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острого респираторного ацидоза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хронического респираторного ацидоза, компенсаторного метаболического алкалоза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первичного метаболического ацидоза, компенсаторного респираторного алкалоза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первичного метаболического ацидоза, компенсаторного респираторного алкалоза</w:t>
      </w:r>
    </w:p>
    <w:p>
      <w:pPr>
        <w:ind w:left="504"/>
      </w:pPr>
      <w:r>
        <w:rPr>
          <w:b w:val="0"/>
          <w:i/>
        </w:rPr>
        <w:t>Нормальный или сниженный уровень pCO2 при уменьшении pH указывает на формирование первичного метаболического ацидоза.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59</w:t>
      </w:r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системы гемостаза в данной ситуации уместно использовать тесты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активность антитромбина 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агрегации тромбоцитов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ПТВ, АЧТВ, фибриноген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дефицит VIII фактора свертывания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ПТВ, АЧТВ, фибриноген</w:t>
      </w:r>
    </w:p>
    <w:p>
      <w:pPr>
        <w:ind w:left="504"/>
      </w:pPr>
      <w:r>
        <w:rPr>
          <w:b w:val="0"/>
          <w:i/>
        </w:rPr>
        <w:t>Рутинная практика для обнаружения коагулопатии включает ранние и повторные определения ПТВ, АЧТВ, фибриногена и количества тромбоцитов и/или метод тромбоэластографии.</w:t>
        <w:br/>
        <w:br/>
      </w:r>
      <w:hyperlink r:id="rId1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 Диагностика и лечение острой массивной кровопотери, рекомендация 16.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ПТВ, АЧТВ, фибриноген</w:t>
      </w:r>
    </w:p>
    <w:p>
      <w:pPr>
        <w:spacing w:after="58"/>
      </w:pPr>
      <w:r>
        <w:rPr>
          <w:b w:val="0"/>
          <w:i w:val="0"/>
        </w:rPr>
        <w:t>ПТВ 21 c, МНО 1,6</w:t>
      </w:r>
    </w:p>
    <w:p>
      <w:pPr>
        <w:spacing w:after="58"/>
      </w:pPr>
      <w:r>
        <w:rPr>
          <w:b w:val="0"/>
          <w:i w:val="0"/>
        </w:rPr>
        <w:t>АЧТВ 35 c</w:t>
      </w:r>
    </w:p>
    <w:p>
      <w:pPr>
        <w:spacing w:after="58"/>
      </w:pPr>
      <w:r>
        <w:rPr>
          <w:b w:val="0"/>
          <w:i w:val="0"/>
        </w:rPr>
        <w:t>Фибриноген 2,8 г/л</w:t>
      </w:r>
    </w:p>
    <w:p>
      <w:pPr>
        <w:pStyle w:val="Heading2"/>
      </w:pPr>
      <w:r>
        <w:t>6. Дополнительная информация</w:t>
      </w:r>
    </w:p>
    <w:p>
      <w:pPr>
        <w:spacing w:after="58"/>
      </w:pPr>
      <w:r>
        <w:rPr>
          <w:b w:val="0"/>
          <w:i w:val="0"/>
        </w:rPr>
        <w:t>Пациенту выполнена ургентная ультразвуковая диагностика (УЗИ плевральных полостей, УЗИ брюшной полости на свободную жидкость, ЭХО-КГ из субкостального доступа): признаков значимого количества свободной жидкости в плевральных полостях нет, признаков тампонады сердца нет, при дыхании отмечается значительное спадение нижней полой вены (изменение диаметра более 50%). При УЗИ внутренних органов отмечаются диффузные изменения паренхимы печени по типу цирроза, расширение v.portae до 15 мм. Гепатоспленомегалия. Свободная жидкость в брюшной полости до 1 л (асцит).</w:t>
      </w:r>
    </w:p>
    <w:p>
      <w:pPr>
        <w:spacing w:after="58"/>
      </w:pPr>
      <w:r>
        <w:rPr>
          <w:b w:val="0"/>
          <w:i w:val="0"/>
        </w:rPr>
        <w:t>В ходе дообследования у пациента отмечается ухудшение состояния.</w:t>
      </w:r>
    </w:p>
    <w:p>
      <w:pPr>
        <w:spacing w:after="58"/>
      </w:pPr>
      <w:r>
        <w:rPr>
          <w:b w:val="0"/>
          <w:i w:val="0"/>
        </w:rPr>
        <w:t>Угнетение сознания до комы. Дыхание отсутствует. Пульсации магистральных артерий нет. АД не промеряется.</w:t>
      </w:r>
    </w:p>
    <w:p>
      <w:pPr>
        <w:spacing w:after="58"/>
      </w:pPr>
      <w:r>
        <w:rPr>
          <w:b w:val="0"/>
          <w:i w:val="0"/>
        </w:rPr>
        <w:t>ЭКГ (стандартное второе отведение) на мониторе:</w:t>
      </w:r>
    </w:p>
    <w:p>
      <w:r>
        <w:drawing>
          <wp:inline xmlns:a="http://schemas.openxmlformats.org/drawingml/2006/main" xmlns:pic="http://schemas.openxmlformats.org/drawingml/2006/picture">
            <wp:extent cx="5303520" cy="406603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d652408231555f100147121ab98232340fca6f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6603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Дополнительная информация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необходимо выполнить комплекс мероприятий, включающий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выполнить как можно быстрее дефибрилляцию разрядом 150-360 Дж (бифазный дефибриллятор)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* обеспечение проходимости дыхательных путей, ИВЛ в режиме гипервентилляции с частотой вдохов 20-25/мин</w:t>
        <w:br/>
        <w:br/>
        <w:t>* непрямой массаж сердца с частотой компрессий 100-120/мин</w:t>
        <w:br/>
        <w:br/>
        <w:t>* как можно быстрее ввести в/в адреналин 1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* непрямой массаж сердца с частотой компрессий 60-90/мин</w:t>
        <w:br/>
        <w:br/>
        <w:t>* выполнить ИВЛ методом изо рта в рот 2 вдоха на каждые 30 компрессий</w:t>
        <w:br/>
        <w:br/>
        <w:t>* как можно быстрее ввести в/в адреналин 1 мг и атропин 1 мг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как можно быстрее ввести в/в адреналин 1 мг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выполнить как можно быстрее дефибрилляцию разрядом 150-360 Дж (бифазный дефибриллятор)</w:t>
      </w:r>
    </w:p>
    <w:p>
      <w:pPr>
        <w:ind w:left="504"/>
      </w:pPr>
      <w:r>
        <w:rPr>
          <w:b w:val="0"/>
          <w:i/>
        </w:rPr>
        <w:t>Алгоритм расширенных реанимационных мероприятий.</w:t>
        <w:br/>
        <w:br/>
        <w:t>Алгоритм действий в случае определения ритма, подлежащего дефибрилляции (ФЖ или тахикардия с широкими комплексами) следующий.</w:t>
        <w:br/>
        <w:br/>
        <w:t>• Начать СЛР в соотношении 30:2. При наличии кардиомонитора — подключить его к пациенту.</w:t>
        <w:br/>
        <w:br/>
        <w:t>• Если остановка кровообращения произошла в ситуации, когда пациент подключен к монитору, но рядом нет дефибриллятора, то реанимационные мероприятия можно начать с нанесения одного прекардиального удара — нанести отрывистый удар по нижней части грудины с высоты 20 см локтевым краем плотно сжатого кулака. Других показаний к применению прекарди-ального удара не существует!</w:t>
        <w:br/>
        <w:br/>
        <w:t>• Как только появится дефибриллятор, наложить электроды на грудь пациента. Начать анализ ритма сердца. Во время анализ, ритма прекратить компрессии грудной клетки.</w:t>
        <w:br/>
        <w:br/>
        <w:t>• Разряд № 1. Если по данным мониторинга подтверждается наличие ФЖ или тахикардии с широкими комплексами, нанести один разряд (360 Дж - при монофазном импульсе.150-200 ДЖ при бифазном), минимизируя паузы между прекращ прессий грудной клетки и нанесением разряда.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36.</w:t>
      </w:r>
    </w:p>
    <w:p>
      <w:pPr>
        <w:pStyle w:val="Heading2"/>
      </w:pPr>
      <w:r>
        <w:t>8. Дополнительная информация</w:t>
      </w:r>
    </w:p>
    <w:p>
      <w:pPr>
        <w:spacing w:after="58"/>
      </w:pPr>
      <w:r>
        <w:rPr>
          <w:b w:val="0"/>
          <w:i w:val="0"/>
        </w:rPr>
        <w:t>После комплекса СЛР в течении 6-ти минут у пациента отмечается положительная динамика, восстановлен самостоятельный ритм.</w:t>
      </w:r>
    </w:p>
    <w:p>
      <w:pPr>
        <w:spacing w:after="58"/>
      </w:pPr>
      <w:r>
        <w:rPr>
          <w:b w:val="0"/>
          <w:i w:val="0"/>
        </w:rPr>
        <w:t>Состояние крайне тяжелое. Проводится ИВЛ через интубационную трубку, аускультативно дыхание проводится во все отделы легких, ослаблено в нижнебоковых, хрипов нет. Гемодинамика поддерживается инфузией норадреналина, АД= 92/45 мм. рт. ст., ЧСС=145/мин. Живот мягкий, не вздут. Анурия.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Инфузионную терапию следует начать с/со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0,9% раствора натрия хлорида (Na{plus} 154,0 ммоль/л; Cl- 154,0 ммоль/л; осмолярность 308 ммоль/л)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стерофундина изотонического (Na{plus} 145,0 ммоль/л; К{plus} 4,0 ммоль/л; Ca2{plus} 2,5 ммоль/л; Mg2+ 1,0 ммоль/л; Cl- 127,0 ммоль/л; ацетат 24,0 ммоль/л; малат 5,0 ммоль/л; осмолярность 304 ммоль/л)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волювена (ГЭК 130\0,4; Na{plus} 154,0 ммоль/л; Cl- 154,0 ммоль/л; осмолярность 308 ммоль/л)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трисоли (Na{plus} 133,2 ммоль/л; К{plus} 13,4 ммоль/л; Cl- 99,0 ммоль/л; HCO3-  47,6 ммоль/л; осмолярность 293,0 ммоль/л)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стерофундина изотонического (Na{plus} 145,0 ммоль/л; К{plus} 4,0 ммоль/л; Ca2{plus} 2,5 ммоль/л; Mg2+ 1,0 ммоль/л; Cl- 127,0 ммоль/л; ацетат 24,0 ммоль/л; малат 5,0 ммоль/л; осмолярность 304 ммоль/л)</w:t>
      </w:r>
    </w:p>
    <w:p>
      <w:pPr>
        <w:ind w:left="504"/>
      </w:pPr>
      <w:r>
        <w:rPr>
          <w:b w:val="0"/>
          <w:i/>
        </w:rPr>
        <w:t>Рекомендуется начинать инфузионную терапию с использования сбалансированных кристаллоидных растворов (уровень убедительности рекомендаций I, уровень достоверности доказательств – А).</w:t>
        <w:br/>
        <w:br/>
        <w:t>Необходимо избегать чрезмерного использования 0,9% раствора NaCl.</w:t>
        <w:br/>
        <w:br/>
      </w:r>
      <w:hyperlink r:id="rId1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2.2. Интенсивная терапия и хирургические вмешательства, рекомендация 22, 23.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Пациенту рекомендована следующая трансфузионная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* трансфузия СЗП в соотношении с эритроцитами (эритроцитная взвесь) 1: 2;</w:t>
        <w:br/>
        <w:br/>
        <w:t>* трансфузия эритроцитной взвеси, для поддержания целевого уровеня гемоглобина – 70-90 г/л;</w:t>
        <w:br/>
        <w:br/>
        <w:t>* тансфузия тромбоцитов, для поддержания целевого уровня &gt;50×109/л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* трансфузия криопреципитата 50 мг/кг,</w:t>
        <w:br/>
        <w:br/>
        <w:t>* трансфузия эритроцитной взвеси, для поддержания целевого уровеня гемоглобина – 70-90 г/л,</w:t>
        <w:br/>
        <w:br/>
        <w:t>* тансфузия тромбоцитов, для поддержания целевого уровня &gt;200×109/л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* трансфузия эритроцитной взвеси, для поддержания целевого уровеня гемоглобина – 70-90 г/л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* применение рекомбинантного активированного фактора коагуляции VII (rFVIIa),</w:t>
        <w:br/>
        <w:br/>
        <w:t>* трансфузия эритроцитной взвеси, для поддержания целевого уровеня гемоглобина – 70-90 г/л</w:t>
        <w:br/>
        <w:br/>
        <w:t>* тансфузия тромбоцитов, для поддержания целевого уровня &gt;100×109/л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* трансфузия СЗП в соотношении с эритроцитами (эритроцитная взвесь) 1: 2;</w:t>
        <w:br/>
        <w:br/>
        <w:t>* трансфузия эритроцитной взвеси, для поддержания целевого уровеня гемоглобина – 70-90 г/л;</w:t>
        <w:br/>
        <w:br/>
        <w:t>* тансфузия тромбоцитов, для поддержания целевого уровня &gt;50×109/л</w:t>
      </w:r>
    </w:p>
    <w:p>
      <w:pPr>
        <w:ind w:left="504"/>
      </w:pPr>
      <w:r>
        <w:rPr>
          <w:b w:val="0"/>
          <w:i/>
        </w:rPr>
        <w:t>Рекомендуется поддерживать целевой уровень гемоглобина - 70-90 г/л (уровень убедительности рекомендаций I, уровень достоверности доказательств – С).</w:t>
        <w:br/>
        <w:br/>
        <w:t>В начальном лечении больных с массивной кровопотерей рекомендуется рассмотреть трансфузию СЗП в соотношении с эритроцитами 1: 2 (уровень убедительности рекомендаций I, уровень достоверности доказательств – В).</w:t>
        <w:br/>
        <w:br/>
        <w:t>Рекомендуется введение СЗП для поддержания уровня ПТВ и АЧТВ не выше 1,5 –го увеличения от нормального диапазона на фоне кровотечения (уровень убедительности рекомендаций I, уровень достоверности доказательств – С).</w:t>
        <w:br/>
        <w:br/>
      </w:r>
      <w:hyperlink r:id="rId1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2.1 Первичное восстановление, диагностика и мониторинг кровотечения, рекомендация 26.</w:t>
        <w:br/>
        <w:br/>
      </w:r>
      <w:hyperlink r:id="rId1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36.</w:t>
        <w:br/>
        <w:br/>
      </w:r>
      <w:hyperlink r:id="rId1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37.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рамках экстренной гемостатической терапии пациента с массивной кровопотерей целесообразно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менадиона (викасол) 10 мг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транексамовой кислоты 1 г в/в, с последующим в/в введением 1 г в течение 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ацетилсалициловой кислоты (Аспирин, Тромбо АСС) в дозе 325 мг, далее 100 мг/сут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протамина сульфата 25–50 мг в/в медленно, далее до 150 мг в/в капельно в течение 8–16 ч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транексамовой кислоты 1 г в/в, с последующим в/в введением 1 г в течение 8 часов</w:t>
      </w:r>
    </w:p>
    <w:p>
      <w:pPr>
        <w:ind w:left="504"/>
      </w:pPr>
      <w:r>
        <w:rPr>
          <w:b w:val="0"/>
          <w:i/>
        </w:rPr>
        <w:t>Целесообразно как можно раньше применять транексамовую кислоту у пациентов с травматическим кровотечением или при риске тяжелого кровотечения в нагрузочной дозе 1 г, которую вливают в течение 10 минут, с последующим внутривенным введением 1 г в течение 8 часов (уровень убедительности рекомендаций I, уровень достоверности доказательств – А).</w:t>
        <w:br/>
        <w:br/>
      </w:r>
      <w:hyperlink r:id="rId1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39.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Пациенту с подозрением на желудочно-кишечное кровотечение планируется лечебно-диагностическая ЭГДС.</w:t>
        <w:br/>
        <w:t>Для индукции и поддержания анестезии у пациента с геморрагическим шоком предпочтительно использовать анестетик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тиопентал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кетамин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пропофол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севофлюран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кетамин</w:t>
      </w:r>
    </w:p>
    <w:p>
      <w:pPr>
        <w:ind w:left="504"/>
      </w:pPr>
      <w:r>
        <w:rPr>
          <w:b w:val="0"/>
          <w:i/>
        </w:rPr>
        <w:t>У пациентов с низким и выраженной гиповолемией кетамин зачастую становится препаратом выбора.</w:t>
        <w:br/>
        <w:br/>
        <w:t>Национальное руководство. Анестезиология. Краткое издание. Под редакцией А.А. Бунятяна, В.М. Мизикова. Геотар-Медия, 2017, стр. 146.</w:t>
        <w:br/>
        <w:br/>
        <w:t>Метод выбора при массивной кровопотере и геморрагическом шоке: общая анестезия с ИВЛ (кетамин, фентанил, бензодиазепины, пропофол).</w:t>
        <w:br/>
        <w:br/>
      </w:r>
      <w:hyperlink r:id="rId19">
        <w:r>
          <w:rPr>
            <w:color w:val="0F766E"/>
            <w:u w:val="single"/>
          </w:rPr>
          <w:t>Анестезия и интенсивная терапия при массивной кровопотере в акушерстве. Клинические рекомендации, 2018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реаниматологов», Российская общественная организация «Ассоциация акушерских анестезиологов и реаниматологов» «Анестезия и интенсивная терапия при массивной кровопотере в акушерстве», 2018 год. Анестезиологическое пособие при массивной кровопотере.</w:t>
      </w:r>
    </w:p>
    <w:p>
      <w:pPr>
        <w:pStyle w:val="Heading2"/>
      </w:pPr>
      <w:r>
        <w:t>13. Дополнительная информация</w:t>
      </w:r>
    </w:p>
    <w:p>
      <w:pPr>
        <w:spacing w:after="58"/>
      </w:pPr>
      <w:r>
        <w:rPr>
          <w:b w:val="0"/>
          <w:i w:val="0"/>
        </w:rPr>
        <w:t>Выполнено ЭГДС: Пищевод, кардия свободно проходимы. Кардия смыкается полностью. В дистальной трети пищевода определяются три больших варизно-расширенных вены (в положениях на 11, 1 и 4 часах) с признаками признаками малоинтенсивного продолжающегося кровотечения. Выполнено лигирование. В области дна желудка также отмечаются варикозно-расширенные вены без признаков кровотечения.</w:t>
      </w:r>
    </w:p>
    <w:p>
      <w:pPr>
        <w:spacing w:after="58"/>
      </w:pPr>
      <w:r>
        <w:rPr>
          <w:b w:val="0"/>
          <w:i w:val="0"/>
        </w:rPr>
        <w:t>Заключение: ВРВП, состояние после эндоскопического гемостаза. ВРВЖ.</w:t>
      </w:r>
    </w:p>
    <w:p>
      <w:pPr>
        <w:spacing w:after="58"/>
      </w:pPr>
      <w:r>
        <w:rPr>
          <w:b w:val="0"/>
          <w:i w:val="0"/>
        </w:rPr>
        <w:t>Пациент переведен в отделение интенсивной терапии.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Пациенту с кровотечением из варикозно-расширенных вен пищевода в условиях нестабильной гемодинамики с целью снижения портальной гипертензии могут быть назначены вазоактивные препараты:</w:t>
        <w:br/>
        <w:br/>
        <w:t>* Соматостатин (Сандостатин, Октреотид) 50-100 мкг в/в болюсно, затем 25-50 мкг/час в течение 5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нитроглицерин в/в с начальной дозы 10 - 15 мг/мин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карведилол per os 6.25 мг два раза в день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нитропруссид натрия (Нанипрус) в/в в дозе до 10 мкг/кг/мин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терлипрессин (Реместип) 1,0 мг (1000 мкг) с интервалом 4–6 ч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терлипрессин (Реместип) 1,0 мг (1000 мкг) с интервалом 4–6 ч</w:t>
      </w:r>
    </w:p>
    <w:p>
      <w:pPr>
        <w:ind w:left="504"/>
      </w:pPr>
      <w:r>
        <w:rPr>
          <w:b w:val="0"/>
          <w:i/>
        </w:rPr>
        <w:t>При подозрении на кровотечение из ВРВ должны быть назначены вазоактивные препараты как можно раньше, препаратом выбора является терлипрессин (уровень убедительности рекомендаций I, уровень достоверности доказательств – А) [68].</w:t>
        <w:br/>
        <w:br/>
        <w:t>Терлипрессин уменьшает артериальный приток в портальную систему, снижая портальное давление на 30-40%. По данным проведенных исследований, из всех вазоактивных препаратов, терлипрессин является препаратом выбора для лечения острого кровотечения, из ВРВ, его назначение приводит к снижению на 34 % риска смертельного исхода.</w:t>
        <w:br/>
        <w:br/>
      </w:r>
      <w:hyperlink r:id="rId2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21.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связи с тем что ЖКК является одним из триггеров развития печеночной энцефалопатии у пациента с циррозом печени и портальной гипертензией, пациенту следует назначить рифаксимин (Альфа-нормикс), L-орнитин-L-аспартат (Гепа-мерц)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лактулозу (Порталак, Дюфалак)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фосфолипиды (эссенциале)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галоперидол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пирацетам (ноотропил, церебрил)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лактулозу (Порталак, Дюфалак)</w:t>
      </w:r>
    </w:p>
    <w:p>
      <w:pPr>
        <w:ind w:left="504"/>
      </w:pPr>
      <w:r>
        <w:rPr>
          <w:b w:val="0"/>
          <w:i/>
        </w:rPr>
        <w:t>Для лечения ПЭ рекомендуется использовать препараты, уменьшающие образование аммиака в кишечнике (лактулоза 30,0-120,0 г/сутки); антибиотики (рифаксимин 1200 мг/сутки или ципрофлоксицин 500 мг/сутки) в течение 5-7 дней, препараты, усиливающие обезвреживание аммиака в печени (L-орнитин-L-аспартат (Гепа-мерц) при отсутствии почечной дисфункции) (уровень убедительности рекомендаций I, уровень достоверности доказательств – В)</w:t>
        <w:br/>
        <w:br/>
      </w:r>
      <w:hyperlink r:id="rId2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9.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Пациентам с портальной гипертензией и асцитом с целью аналгезии не рекомендуется использовать +__________+ , в связи с увеличением риска развития почечной недостаточности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трамадол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тримеперидин, морфин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парацетамол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кеторолак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кеторолак</w:t>
      </w:r>
    </w:p>
    <w:p>
      <w:pPr>
        <w:ind w:left="504"/>
      </w:pPr>
      <w:r>
        <w:rPr>
          <w:b w:val="0"/>
          <w:i/>
        </w:rPr>
        <w:t>Нестероидные противовоспалительные препараты (НПВП) противопоказаны пациентам с асцитом из-за высокого риска развития дальнейшей задержки натрия, гипонатриемии и почечной недостаточности.</w:t>
        <w:br/>
        <w:br/>
      </w:r>
      <w:hyperlink r:id="rId2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16.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проведении анестезии пациентам с циррозом печени и печеночной недостаточности следует использовать миорелаксант с органно-независимыми путями элиминации (без участия почек и печени)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суксаметоний (сукцинилхолин, дитилин, листенон)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цисатракурий (нимбекс)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рокуроний (эсмерон, рокуроний каби)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пипекуроний (ардуан, аперомид)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цисатракурий (нимбекс)</w:t>
      </w:r>
    </w:p>
    <w:p>
      <w:pPr>
        <w:ind w:left="504"/>
      </w:pPr>
      <w:r>
        <w:rPr>
          <w:b w:val="0"/>
          <w:i/>
        </w:rPr>
        <w:t>Более безопасно могут применяться миорелаксанты с орган-независимымми путями элиминации – атракуриум (неспецифический гидролиз) и цисатракуриум (хофмановская элиминация). Период полувыведения и длительность действия данных препаратов не меняется при наличии патологии печени. Тем не менее, в процессе их метаболизма образуется побочный продукт – лауданозин, который элиминируется печенью. У больных с печеночной недостаточностью он может кумулировать, что несет в себе потенциальный нейротоксический эффект, который, однако, не был подтвержден клинически</w:t>
        <w:br/>
        <w:br/>
      </w:r>
      <w:hyperlink r:id="rId2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8, комментарии.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massivebleeding/" TargetMode="External"/><Relationship Id="rId11" Type="http://schemas.openxmlformats.org/officeDocument/2006/relationships/hyperlink" Target="https://library.mededtech.ru/rest/documents/massivebleeding/index.html#paragraph_jct61i" TargetMode="External"/><Relationship Id="rId12" Type="http://schemas.openxmlformats.org/officeDocument/2006/relationships/image" Target="media/image2.png"/><Relationship Id="rId13" Type="http://schemas.openxmlformats.org/officeDocument/2006/relationships/hyperlink" Target="https://library.mededtech.ru/rest/documents/massivebleeding/index.html#paragraph_d6kdrs" TargetMode="External"/><Relationship Id="rId14" Type="http://schemas.openxmlformats.org/officeDocument/2006/relationships/hyperlink" Target="https://library.mededtech.ru/rest/documents/massivebleeding/index.html#paragraph_91rmp8" TargetMode="External"/><Relationship Id="rId15" Type="http://schemas.openxmlformats.org/officeDocument/2006/relationships/hyperlink" Target="https://library.mededtech.ru/rest/documents/massivebleeding/index.html#paragraph_2ljva1" TargetMode="External"/><Relationship Id="rId16" Type="http://schemas.openxmlformats.org/officeDocument/2006/relationships/hyperlink" Target="https://library.mededtech.ru/rest/documents/massivebleeding/index.html#paragraph_66s1r4" TargetMode="External"/><Relationship Id="rId17" Type="http://schemas.openxmlformats.org/officeDocument/2006/relationships/hyperlink" Target="https://library.mededtech.ru/rest/documents/massivebleeding/index.html#paragraph_tjq6lv" TargetMode="External"/><Relationship Id="rId18" Type="http://schemas.openxmlformats.org/officeDocument/2006/relationships/hyperlink" Target="https://library.mededtech.ru/rest/documents/massivebleeding/index.html#paragraph_d78fup" TargetMode="External"/><Relationship Id="rId19" Type="http://schemas.openxmlformats.org/officeDocument/2006/relationships/hyperlink" Target="https://library.mededtech.ru/rest/documents/obstetrics_bleeding/index.html" TargetMode="External"/><Relationship Id="rId20" Type="http://schemas.openxmlformats.org/officeDocument/2006/relationships/hyperlink" Target="https://library.mededtech.ru/rest/documents/obstetrics_bleeding/index.html#paragraph_il7h99" TargetMode="External"/><Relationship Id="rId21" Type="http://schemas.openxmlformats.org/officeDocument/2006/relationships/hyperlink" Target="https://library.mededtech.ru/rest/documents/periophepat/index.html" TargetMode="External"/><Relationship Id="rId22" Type="http://schemas.openxmlformats.org/officeDocument/2006/relationships/hyperlink" Target="https://library.mededtech.ru/rest/documents/periophepat/index.html#paragraph_e3gl11" TargetMode="External"/><Relationship Id="rId23" Type="http://schemas.openxmlformats.org/officeDocument/2006/relationships/hyperlink" Target="https://library.mededtech.ru/rest/documents/periophepat/index.html#paragraph_mde6eq" TargetMode="External"/><Relationship Id="rId24" Type="http://schemas.openxmlformats.org/officeDocument/2006/relationships/hyperlink" Target="https://library.mededtech.ru/rest/documents/periophepat/index.html#paragraph_iac57d" TargetMode="External"/><Relationship Id="rId25" Type="http://schemas.openxmlformats.org/officeDocument/2006/relationships/hyperlink" Target="https://library.mededtech.ru/rest/documents/periophepat/index.html#paragraph_901nj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